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DF" w:rsidRDefault="005602DF" w:rsidP="002976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Recent news and status of </w:t>
      </w:r>
    </w:p>
    <w:p w:rsidR="005F1FCF" w:rsidRPr="00C365FC" w:rsidRDefault="005602DF" w:rsidP="002976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KAGRA gravitational wave telescope</w:t>
      </w:r>
    </w:p>
    <w:p w:rsidR="002D55CE" w:rsidRPr="005602DF" w:rsidRDefault="002D55CE" w:rsidP="00297609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:rsidR="002D55CE" w:rsidRPr="00C365FC" w:rsidRDefault="005602DF" w:rsidP="00297609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>Yuta</w:t>
      </w:r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Michimura</w:t>
      </w:r>
      <w:r w:rsidR="00CF4DB8" w:rsidRPr="00C365F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CF4DB8">
        <w:rPr>
          <w:rFonts w:ascii="Times New Roman" w:hAnsi="Times New Roman"/>
          <w:b/>
          <w:sz w:val="20"/>
          <w:szCs w:val="20"/>
          <w:vertAlign w:val="superscript"/>
        </w:rPr>
        <w:t>, *</w:t>
      </w:r>
      <w:r>
        <w:rPr>
          <w:rFonts w:ascii="Times New Roman" w:hAnsi="Times New Roman"/>
          <w:b/>
          <w:sz w:val="20"/>
          <w:szCs w:val="20"/>
        </w:rPr>
        <w:t xml:space="preserve"> for the KAGRA collaboration</w:t>
      </w:r>
    </w:p>
    <w:p w:rsidR="002D55CE" w:rsidRPr="00CF4DB8" w:rsidRDefault="00C365FC" w:rsidP="00CF4DB8">
      <w:pPr>
        <w:snapToGrid w:val="0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365FC">
        <w:rPr>
          <w:rFonts w:ascii="Times New Roman" w:hAnsi="Times New Roman" w:hint="eastAsia"/>
          <w:i/>
          <w:color w:val="000000"/>
          <w:sz w:val="18"/>
          <w:szCs w:val="18"/>
          <w:vertAlign w:val="superscript"/>
        </w:rPr>
        <w:t>1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>Department of Physic</w:t>
      </w:r>
      <w:r w:rsidRPr="00C365FC">
        <w:rPr>
          <w:rFonts w:ascii="Times New Roman" w:hAnsi="Times New Roman" w:hint="eastAsia"/>
          <w:i/>
          <w:color w:val="000000"/>
          <w:sz w:val="18"/>
          <w:szCs w:val="18"/>
        </w:rPr>
        <w:t>s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 xml:space="preserve">, </w:t>
      </w:r>
      <w:r w:rsidR="00CF4DB8">
        <w:rPr>
          <w:rFonts w:ascii="Times New Roman" w:hAnsi="Times New Roman"/>
          <w:i/>
          <w:color w:val="000000"/>
          <w:sz w:val="18"/>
          <w:szCs w:val="18"/>
        </w:rPr>
        <w:t>University of Tokyo, Bunkyo, Tokyo 113-0033, Japan</w:t>
      </w:r>
    </w:p>
    <w:p w:rsidR="00CF4DB8" w:rsidRPr="00CF4DB8" w:rsidRDefault="00C365FC" w:rsidP="00CF4DB8">
      <w:pPr>
        <w:snapToGrid w:val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</w:rPr>
        <w:t>*</w:t>
      </w:r>
      <w:r w:rsidR="002D55CE" w:rsidRPr="00C365FC">
        <w:rPr>
          <w:rFonts w:ascii="Times New Roman" w:hAnsi="Times New Roman"/>
          <w:i/>
          <w:sz w:val="18"/>
          <w:szCs w:val="18"/>
        </w:rPr>
        <w:t xml:space="preserve"> </w:t>
      </w:r>
      <w:r w:rsidR="00CF4DB8" w:rsidRPr="00CF4DB8">
        <w:rPr>
          <w:rFonts w:ascii="Times New Roman" w:hAnsi="Times New Roman"/>
          <w:i/>
          <w:sz w:val="18"/>
          <w:szCs w:val="18"/>
        </w:rPr>
        <w:t>michimura</w:t>
      </w:r>
      <w:r w:rsidR="00CF4DB8" w:rsidRPr="00CF4DB8">
        <w:rPr>
          <w:rFonts w:ascii="Times New Roman" w:hAnsi="Times New Roman" w:hint="eastAsia"/>
          <w:i/>
          <w:sz w:val="18"/>
          <w:szCs w:val="18"/>
        </w:rPr>
        <w:t>@</w:t>
      </w:r>
      <w:r w:rsidR="00CF4DB8" w:rsidRPr="00CF4DB8">
        <w:rPr>
          <w:rFonts w:ascii="Times New Roman" w:hAnsi="Times New Roman"/>
          <w:i/>
          <w:sz w:val="18"/>
          <w:szCs w:val="18"/>
        </w:rPr>
        <w:t>granite.phys.s.u-tokyo.ac.jp</w:t>
      </w:r>
    </w:p>
    <w:p w:rsidR="002D55CE" w:rsidRPr="00C365FC" w:rsidRDefault="002D55CE" w:rsidP="002976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2CCE" w:rsidRDefault="003E2CCE" w:rsidP="00297609">
      <w:pPr>
        <w:snapToGrid w:val="0"/>
        <w:ind w:firstLine="238"/>
        <w:rPr>
          <w:rFonts w:ascii="Times New Roman" w:hAnsi="Times New Roman"/>
          <w:sz w:val="20"/>
          <w:szCs w:val="20"/>
        </w:rPr>
        <w:sectPr w:rsidR="003E2CCE" w:rsidSect="002D55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1701" w:header="851" w:footer="992" w:gutter="0"/>
          <w:cols w:space="425"/>
          <w:docGrid w:type="lines" w:linePitch="400"/>
        </w:sectPr>
      </w:pPr>
    </w:p>
    <w:p w:rsidR="003E2CCE" w:rsidRDefault="003E2CCE" w:rsidP="00297609">
      <w:pPr>
        <w:pStyle w:val="a3"/>
        <w:tabs>
          <w:tab w:val="left" w:pos="266"/>
        </w:tabs>
        <w:spacing w:line="240" w:lineRule="auto"/>
        <w:ind w:firstLine="300"/>
        <w:rPr>
          <w:rFonts w:ascii="Times New Roman" w:eastAsia="한양신명조" w:hAnsi="Times New Roman" w:cs="Times New Roman"/>
          <w:b/>
          <w:bCs/>
          <w:sz w:val="18"/>
          <w:szCs w:val="18"/>
        </w:rPr>
      </w:pPr>
      <w:r w:rsidRPr="003E2CCE">
        <w:rPr>
          <w:rFonts w:ascii="Times New Roman" w:hAnsi="Times New Roman" w:cs="Times New Roman"/>
          <w:b/>
          <w:i/>
          <w:sz w:val="18"/>
          <w:szCs w:val="18"/>
        </w:rPr>
        <w:lastRenderedPageBreak/>
        <w:t>Abstract</w:t>
      </w:r>
      <w:r w:rsidRPr="003E2CCE">
        <w:rPr>
          <w:rFonts w:ascii="Times New Roman" w:eastAsia="한양신명조" w:hAnsi="Times New Roman" w:cs="Times New Roman"/>
          <w:b/>
          <w:bCs/>
          <w:i/>
          <w:sz w:val="18"/>
          <w:szCs w:val="18"/>
        </w:rPr>
        <w:t>―</w:t>
      </w:r>
      <w:r w:rsidRPr="003E2CCE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</w:t>
      </w:r>
      <w:r w:rsidR="002D5B32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KAGRA is a 3-km cryogenic interferometric gravitational wave telescope which is being built at the underground site of Kamioka mine in Gifu prefecture, Japan. The project started in 2010, and the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construction of the </w:t>
      </w:r>
      <w:r w:rsidR="002D5B32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basic infrastructures including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the tunnel and 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the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vacuum system completed in 2015. Between March and April 2016, we have </w:t>
      </w:r>
      <w:r w:rsidR="00400515">
        <w:rPr>
          <w:rFonts w:ascii="Times New Roman" w:eastAsia="한양신명조" w:hAnsi="Times New Roman" w:cs="Times New Roman"/>
          <w:b/>
          <w:bCs/>
          <w:sz w:val="18"/>
          <w:szCs w:val="18"/>
        </w:rPr>
        <w:t>performed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the very first test runs with a 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simplified configuration; 3-km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Michelson 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>interferometer at room temperature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>. Here we present some of our recent results of the test runs, and discuss future plans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and development status for the full configuration of KAGRA.</w:t>
      </w:r>
    </w:p>
    <w:p w:rsidR="003E2CCE" w:rsidRDefault="003E2CCE" w:rsidP="00297609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</w:pPr>
    </w:p>
    <w:p w:rsidR="003E2CCE" w:rsidRPr="003E2CCE" w:rsidRDefault="003E2CCE" w:rsidP="00297609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I. Introduction</w:t>
      </w:r>
    </w:p>
    <w:p w:rsidR="00123023" w:rsidRPr="00123023" w:rsidRDefault="00153615" w:rsidP="00123023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r w:rsidR="00827360">
        <w:rPr>
          <w:rFonts w:ascii="Times New Roman" w:hAnsi="Times New Roman"/>
          <w:sz w:val="20"/>
          <w:szCs w:val="20"/>
        </w:rPr>
        <w:t>September 14, 2015</w:t>
      </w:r>
      <w:r>
        <w:rPr>
          <w:rFonts w:ascii="Times New Roman" w:hAnsi="Times New Roman"/>
          <w:sz w:val="20"/>
          <w:szCs w:val="20"/>
        </w:rPr>
        <w:t xml:space="preserve"> </w:t>
      </w:r>
      <w:r w:rsidR="00423C77">
        <w:rPr>
          <w:rFonts w:ascii="Times New Roman" w:hAnsi="Times New Roman"/>
          <w:sz w:val="20"/>
          <w:szCs w:val="20"/>
        </w:rPr>
        <w:t xml:space="preserve">the two </w:t>
      </w:r>
      <w:r>
        <w:rPr>
          <w:rFonts w:ascii="Times New Roman" w:hAnsi="Times New Roman"/>
          <w:sz w:val="20"/>
          <w:szCs w:val="20"/>
        </w:rPr>
        <w:t>LIGO</w:t>
      </w:r>
      <w:r w:rsidR="00827360">
        <w:rPr>
          <w:rFonts w:ascii="Times New Roman" w:hAnsi="Times New Roman"/>
          <w:sz w:val="20"/>
          <w:szCs w:val="20"/>
        </w:rPr>
        <w:t xml:space="preserve"> detectors observed gravitational waves for the first time. It not only proved the existence of gravitational waves directly, but also </w:t>
      </w:r>
      <w:r w:rsidR="00423C77">
        <w:rPr>
          <w:rFonts w:ascii="Times New Roman" w:hAnsi="Times New Roman"/>
          <w:sz w:val="20"/>
          <w:szCs w:val="20"/>
        </w:rPr>
        <w:t>proved that observation</w:t>
      </w:r>
      <w:r w:rsidR="00827360">
        <w:rPr>
          <w:rFonts w:ascii="Times New Roman" w:hAnsi="Times New Roman"/>
          <w:sz w:val="20"/>
          <w:szCs w:val="20"/>
        </w:rPr>
        <w:t xml:space="preserve"> of gravitational waves is a </w:t>
      </w:r>
      <w:r w:rsidR="00423C77">
        <w:rPr>
          <w:rFonts w:ascii="Times New Roman" w:hAnsi="Times New Roman"/>
          <w:sz w:val="20"/>
          <w:szCs w:val="20"/>
        </w:rPr>
        <w:t xml:space="preserve">totally </w:t>
      </w:r>
      <w:r w:rsidR="00827360">
        <w:rPr>
          <w:rFonts w:ascii="Times New Roman" w:hAnsi="Times New Roman"/>
          <w:sz w:val="20"/>
          <w:szCs w:val="20"/>
        </w:rPr>
        <w:t xml:space="preserve">new way to </w:t>
      </w:r>
      <w:r w:rsidR="00EC1177">
        <w:rPr>
          <w:rFonts w:ascii="Times New Roman" w:hAnsi="Times New Roman"/>
          <w:sz w:val="20"/>
          <w:szCs w:val="20"/>
        </w:rPr>
        <w:t xml:space="preserve">listen to </w:t>
      </w:r>
      <w:r w:rsidR="00827360">
        <w:rPr>
          <w:rFonts w:ascii="Times New Roman" w:hAnsi="Times New Roman"/>
          <w:sz w:val="20"/>
          <w:szCs w:val="20"/>
        </w:rPr>
        <w:t>our Universe.</w:t>
      </w:r>
      <w:r w:rsidR="00123023" w:rsidRPr="00123023">
        <w:rPr>
          <w:rFonts w:ascii="Times New Roman" w:hAnsi="Times New Roman"/>
          <w:sz w:val="20"/>
          <w:szCs w:val="20"/>
        </w:rPr>
        <w:t xml:space="preserve"> </w:t>
      </w:r>
    </w:p>
    <w:p w:rsidR="00123023" w:rsidRPr="00123023" w:rsidRDefault="00423C77" w:rsidP="00123023">
      <w:pPr>
        <w:snapToGrid w:val="0"/>
        <w:ind w:firstLine="238"/>
        <w:rPr>
          <w:rFonts w:ascii="Times New Roman" w:hAnsi="Times New Roman"/>
          <w:sz w:val="20"/>
          <w:szCs w:val="20"/>
        </w:rPr>
      </w:pPr>
      <w:r w:rsidRPr="000F159D">
        <w:rPr>
          <w:rFonts w:ascii="Times New Roman" w:hAnsi="Times New Roman" w:hint="eastAsia"/>
          <w:sz w:val="20"/>
          <w:szCs w:val="20"/>
        </w:rPr>
        <w:t xml:space="preserve">It also showed </w:t>
      </w:r>
      <w:r w:rsidR="000F159D" w:rsidRPr="000F159D">
        <w:rPr>
          <w:rFonts w:ascii="Times New Roman" w:hAnsi="Times New Roman" w:hint="eastAsia"/>
          <w:sz w:val="20"/>
          <w:szCs w:val="20"/>
        </w:rPr>
        <w:t xml:space="preserve">the importance of </w:t>
      </w:r>
      <w:r w:rsidR="000F159D" w:rsidRPr="000F159D">
        <w:rPr>
          <w:rFonts w:ascii="Times New Roman" w:hAnsi="Times New Roman"/>
          <w:sz w:val="20"/>
          <w:szCs w:val="20"/>
        </w:rPr>
        <w:t xml:space="preserve">a </w:t>
      </w:r>
      <w:r w:rsidR="000F159D" w:rsidRPr="000F159D">
        <w:rPr>
          <w:rFonts w:ascii="Times New Roman" w:hAnsi="Times New Roman" w:hint="eastAsia"/>
          <w:sz w:val="20"/>
          <w:szCs w:val="20"/>
        </w:rPr>
        <w:t>global network</w:t>
      </w:r>
      <w:r w:rsidR="000F159D">
        <w:rPr>
          <w:rFonts w:ascii="Times New Roman" w:hAnsi="Times New Roman"/>
          <w:sz w:val="20"/>
          <w:szCs w:val="20"/>
        </w:rPr>
        <w:t xml:space="preserve"> of the gravitational wave detectors. In order to </w:t>
      </w:r>
      <w:r w:rsidR="00EA0053">
        <w:rPr>
          <w:rFonts w:ascii="Times New Roman" w:hAnsi="Times New Roman"/>
          <w:sz w:val="20"/>
          <w:szCs w:val="20"/>
        </w:rPr>
        <w:t>resolve the sky location of the source more accurately, three or more detectors are needed.</w:t>
      </w:r>
    </w:p>
    <w:p w:rsidR="00EA0053" w:rsidRPr="00123023" w:rsidRDefault="00EA0053" w:rsidP="00123023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Japan, a 3-km interferometric gravitational wave telescope called KAGRA is being built at </w:t>
      </w:r>
      <w:r w:rsidR="005C3E14">
        <w:rPr>
          <w:rFonts w:ascii="Times New Roman" w:hAnsi="Times New Roman"/>
          <w:sz w:val="20"/>
          <w:szCs w:val="20"/>
        </w:rPr>
        <w:t>Kamioka</w:t>
      </w:r>
      <w:r w:rsidR="005C3E14" w:rsidRPr="00123023">
        <w:rPr>
          <w:rFonts w:ascii="Times New Roman" w:hAnsi="Times New Roman"/>
          <w:sz w:val="20"/>
          <w:szCs w:val="20"/>
        </w:rPr>
        <w:t xml:space="preserve"> (</w:t>
      </w:r>
      <w:r w:rsidR="005C3E14" w:rsidRPr="00123023">
        <w:rPr>
          <w:rFonts w:ascii="Times New Roman" w:hAnsi="Times New Roman" w:hint="eastAsia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>.</w:t>
      </w:r>
      <w:r w:rsidR="006A502E">
        <w:rPr>
          <w:rFonts w:ascii="Times New Roman" w:hAnsi="Times New Roman"/>
          <w:sz w:val="20"/>
          <w:szCs w:val="20"/>
        </w:rPr>
        <w:t xml:space="preserve"> As an advanced detector, we use two unique technologies to reduce noises: (1) </w:t>
      </w:r>
      <w:r w:rsidR="005C3E14">
        <w:rPr>
          <w:rFonts w:ascii="Times New Roman" w:hAnsi="Times New Roman"/>
          <w:sz w:val="20"/>
          <w:szCs w:val="20"/>
        </w:rPr>
        <w:t xml:space="preserve">the construction of the interferometer at </w:t>
      </w:r>
      <w:r w:rsidR="006A502E">
        <w:rPr>
          <w:rFonts w:ascii="Times New Roman" w:hAnsi="Times New Roman"/>
          <w:sz w:val="20"/>
          <w:szCs w:val="20"/>
        </w:rPr>
        <w:t>the quiet and stable underground site to reduce seismic and Newtonian noise, (2) the use of cryogenic sapphire mirrors</w:t>
      </w:r>
      <w:r w:rsidR="005C3E14">
        <w:rPr>
          <w:rFonts w:ascii="Times New Roman" w:hAnsi="Times New Roman"/>
          <w:sz w:val="20"/>
          <w:szCs w:val="20"/>
        </w:rPr>
        <w:t xml:space="preserve"> to reduce thermal noises.</w:t>
      </w:r>
    </w:p>
    <w:p w:rsidR="00400515" w:rsidRPr="000F159D" w:rsidRDefault="00400515" w:rsidP="000F159D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development of KAGA is performed in two phases. iKAGRA is the initial phase to operate a </w:t>
      </w:r>
      <w:r w:rsidR="00123023">
        <w:rPr>
          <w:rFonts w:ascii="Times New Roman" w:hAnsi="Times New Roman"/>
          <w:sz w:val="20"/>
          <w:szCs w:val="20"/>
        </w:rPr>
        <w:t xml:space="preserve">simple </w:t>
      </w:r>
      <w:r>
        <w:rPr>
          <w:rFonts w:ascii="Times New Roman" w:hAnsi="Times New Roman"/>
          <w:sz w:val="20"/>
          <w:szCs w:val="20"/>
        </w:rPr>
        <w:t>3-km Michelson interferometer at room temperature. bKAGRA is the final</w:t>
      </w:r>
      <w:r w:rsidR="00DA42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phase to operate </w:t>
      </w:r>
      <w:r w:rsidR="00DA42AE">
        <w:rPr>
          <w:rFonts w:ascii="Times New Roman" w:hAnsi="Times New Roman"/>
          <w:sz w:val="20"/>
          <w:szCs w:val="20"/>
        </w:rPr>
        <w:t>a baseline</w:t>
      </w:r>
      <w:r>
        <w:rPr>
          <w:rFonts w:ascii="Times New Roman" w:hAnsi="Times New Roman"/>
          <w:sz w:val="20"/>
          <w:szCs w:val="20"/>
        </w:rPr>
        <w:t xml:space="preserve"> </w:t>
      </w:r>
      <w:r w:rsidR="00DA42AE">
        <w:rPr>
          <w:rFonts w:ascii="Times New Roman" w:hAnsi="Times New Roman"/>
          <w:sz w:val="20"/>
          <w:szCs w:val="20"/>
        </w:rPr>
        <w:t xml:space="preserve">cryogenic </w:t>
      </w:r>
      <w:r>
        <w:rPr>
          <w:rFonts w:ascii="Times New Roman" w:hAnsi="Times New Roman"/>
          <w:sz w:val="20"/>
          <w:szCs w:val="20"/>
        </w:rPr>
        <w:t>RSE</w:t>
      </w:r>
      <w:r w:rsidR="00DA42AE">
        <w:rPr>
          <w:rFonts w:ascii="Times New Roman" w:hAnsi="Times New Roman"/>
          <w:sz w:val="20"/>
          <w:szCs w:val="20"/>
        </w:rPr>
        <w:t xml:space="preserve"> interferometer. We have recently conducted iKAGRA test run, and transitioned to bKAGRA phase.</w:t>
      </w:r>
    </w:p>
    <w:p w:rsidR="000E7B16" w:rsidRPr="0047558C" w:rsidRDefault="000E7B16" w:rsidP="00297609">
      <w:pPr>
        <w:snapToGrid w:val="0"/>
        <w:ind w:firstLine="238"/>
        <w:rPr>
          <w:rFonts w:ascii="Times New Roman" w:hAnsi="Times New Roman"/>
          <w:sz w:val="16"/>
          <w:szCs w:val="20"/>
        </w:rPr>
      </w:pPr>
    </w:p>
    <w:p w:rsidR="000E7B16" w:rsidRPr="003E2CCE" w:rsidRDefault="000E7B16" w:rsidP="00297609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 w:hint="eastAsia"/>
          <w:b/>
        </w:rPr>
        <w:t>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 w:rsidR="005C3E14">
        <w:rPr>
          <w:rFonts w:ascii="Times New Roman" w:hAnsi="Times New Roman" w:cs="Times New Roman"/>
          <w:b/>
        </w:rPr>
        <w:t>iKAGRA test run</w:t>
      </w:r>
    </w:p>
    <w:p w:rsidR="003A0AF4" w:rsidRDefault="00E42CBA" w:rsidP="00297609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iKAGRA test run was </w:t>
      </w:r>
      <w:r w:rsidR="00123023">
        <w:rPr>
          <w:rFonts w:ascii="Times New Roman" w:eastAsia="ＭＳ 明朝" w:hAnsi="Times New Roman" w:hint="eastAsia"/>
          <w:sz w:val="20"/>
          <w:szCs w:val="20"/>
          <w:lang w:eastAsia="ja-JP"/>
        </w:rPr>
        <w:t>carried out</w:t>
      </w:r>
      <w:r w:rsidR="0003675C">
        <w:rPr>
          <w:rFonts w:ascii="Times New Roman" w:hAnsi="Times New Roman"/>
          <w:sz w:val="20"/>
          <w:szCs w:val="20"/>
        </w:rPr>
        <w:t xml:space="preserve"> on March 25 to 31 and April 11 to 25, 2016.</w:t>
      </w:r>
      <w:r w:rsidR="003A0AF4">
        <w:rPr>
          <w:rFonts w:ascii="Times New Roman" w:hAnsi="Times New Roman"/>
          <w:sz w:val="20"/>
          <w:szCs w:val="20"/>
        </w:rPr>
        <w:t xml:space="preserve"> Between two test runs, a little commissioning was done to improve the stability of the interferometer. Duty cycle and the longest lock duration of the March run was 85.2 % and 3.6 hours. Those for the April run was 90.4 % and 21.3 hours. The strain sensitivity was about 6e-16 /</w:t>
      </w:r>
      <w:proofErr w:type="spellStart"/>
      <w:r w:rsidR="003A0AF4">
        <w:rPr>
          <w:rFonts w:ascii="Times New Roman" w:hAnsi="Times New Roman"/>
          <w:sz w:val="20"/>
          <w:szCs w:val="20"/>
        </w:rPr>
        <w:t>rtHz</w:t>
      </w:r>
      <w:proofErr w:type="spellEnd"/>
      <w:r w:rsidR="003A0AF4">
        <w:rPr>
          <w:rFonts w:ascii="Times New Roman" w:hAnsi="Times New Roman"/>
          <w:sz w:val="20"/>
          <w:szCs w:val="20"/>
        </w:rPr>
        <w:t xml:space="preserve"> @ 100 Hz (Fig 1).</w:t>
      </w:r>
    </w:p>
    <w:p w:rsidR="00F9416E" w:rsidRDefault="003A0AF4" w:rsidP="00297609">
      <w:pPr>
        <w:snapToGrid w:val="0"/>
        <w:ind w:firstLine="2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Although the sensitivity was not great,</w:t>
      </w:r>
      <w:r>
        <w:rPr>
          <w:rFonts w:ascii="ＭＳ 明朝" w:eastAsia="ＭＳ 明朝" w:hAnsi="ＭＳ 明朝"/>
          <w:sz w:val="20"/>
          <w:szCs w:val="20"/>
          <w:lang w:eastAsia="ja-JP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we have confirmed that the alignment of the vacuum ducts, the data transfer flow, and the observation shift procedure do not have big problems. Also, we have acquired valuable data </w:t>
      </w:r>
      <w:r w:rsidR="00F9416E">
        <w:rPr>
          <w:noProof/>
          <w:lang w:eastAsia="ja-JP"/>
        </w:rPr>
        <w:lastRenderedPageBreak/>
        <w:drawing>
          <wp:inline distT="0" distB="0" distL="0" distR="0" wp14:anchorId="4AB8AAED" wp14:editId="2982301F">
            <wp:extent cx="2959100" cy="2218690"/>
            <wp:effectExtent l="0" t="0" r="0" b="0"/>
            <wp:docPr id="2" name="図 2" descr="http://klog.icrr.u-tokyo.ac.jp/osl/uploads/1705_20160430123236_michnoisebudget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og.icrr.u-tokyo.ac.jp/osl/uploads/1705_20160430123236_michnoisebudgetac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6E">
        <w:rPr>
          <w:rFonts w:ascii="Times New Roman" w:hAnsi="Times New Roman"/>
          <w:sz w:val="20"/>
          <w:szCs w:val="20"/>
        </w:rPr>
        <w:br/>
      </w:r>
      <w:r w:rsidR="00F9416E">
        <w:rPr>
          <w:rFonts w:ascii="Times New Roman" w:hAnsi="Times New Roman" w:hint="eastAsia"/>
          <w:sz w:val="18"/>
          <w:szCs w:val="18"/>
        </w:rPr>
        <w:t xml:space="preserve">[Fig.1] </w:t>
      </w:r>
      <w:r w:rsidR="00F9416E">
        <w:rPr>
          <w:rFonts w:ascii="Times New Roman" w:hAnsi="Times New Roman"/>
          <w:sz w:val="18"/>
          <w:szCs w:val="18"/>
        </w:rPr>
        <w:t xml:space="preserve">Displacement sensitivity of </w:t>
      </w:r>
      <w:r w:rsidR="00F9416E">
        <w:rPr>
          <w:rFonts w:ascii="Times New Roman" w:hAnsi="Times New Roman" w:hint="eastAsia"/>
          <w:sz w:val="18"/>
          <w:szCs w:val="18"/>
        </w:rPr>
        <w:t>iKAGRA</w:t>
      </w:r>
      <w:r w:rsidR="00F9416E">
        <w:rPr>
          <w:rFonts w:ascii="Times New Roman" w:hAnsi="Times New Roman"/>
          <w:sz w:val="18"/>
          <w:szCs w:val="18"/>
        </w:rPr>
        <w:t xml:space="preserve"> (blue line) compared with various noise sources (dotted lines).</w:t>
      </w:r>
    </w:p>
    <w:p w:rsidR="00F9416E" w:rsidRPr="00DA509F" w:rsidRDefault="00F9416E" w:rsidP="00F9416E">
      <w:pPr>
        <w:snapToGrid w:val="0"/>
        <w:rPr>
          <w:rFonts w:ascii="Times New Roman" w:hAnsi="Times New Roman"/>
          <w:sz w:val="16"/>
          <w:szCs w:val="20"/>
        </w:rPr>
      </w:pPr>
    </w:p>
    <w:p w:rsidR="00CE3794" w:rsidRDefault="003A0AF4" w:rsidP="00DA509F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 </w:t>
      </w:r>
      <w:r w:rsidR="00F51714">
        <w:rPr>
          <w:rFonts w:ascii="Times New Roman" w:hAnsi="Times New Roman"/>
          <w:sz w:val="20"/>
          <w:szCs w:val="20"/>
        </w:rPr>
        <w:t xml:space="preserve">differential </w:t>
      </w:r>
      <w:r w:rsidR="00F840DF">
        <w:rPr>
          <w:rFonts w:ascii="Times New Roman" w:hAnsi="Times New Roman"/>
          <w:sz w:val="20"/>
          <w:szCs w:val="20"/>
        </w:rPr>
        <w:t>tidal drift of the arm lengths and for other environmental sensors (e.g. seismometer, hydrometer, etc.).</w:t>
      </w:r>
      <w:r w:rsidR="004E5984">
        <w:rPr>
          <w:rFonts w:ascii="Times New Roman" w:hAnsi="Times New Roman"/>
          <w:sz w:val="20"/>
          <w:szCs w:val="20"/>
        </w:rPr>
        <w:t xml:space="preserve"> Hardware injection test of gravitational wave signals was also done to check </w:t>
      </w:r>
      <w:r w:rsidR="00DA509F">
        <w:rPr>
          <w:rFonts w:ascii="Times New Roman" w:hAnsi="Times New Roman"/>
          <w:sz w:val="20"/>
          <w:szCs w:val="20"/>
        </w:rPr>
        <w:t>the data analysis pipelines.</w:t>
      </w:r>
    </w:p>
    <w:p w:rsidR="00DA509F" w:rsidRPr="00DA509F" w:rsidRDefault="00DA509F" w:rsidP="00DA509F">
      <w:pPr>
        <w:snapToGrid w:val="0"/>
        <w:rPr>
          <w:rFonts w:ascii="Times New Roman" w:hAnsi="Times New Roman"/>
          <w:sz w:val="16"/>
          <w:szCs w:val="20"/>
        </w:rPr>
      </w:pPr>
    </w:p>
    <w:p w:rsidR="005C3E14" w:rsidRPr="003E2CCE" w:rsidRDefault="005C3E14" w:rsidP="005C3E14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 w:rsidR="00DA42A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 w:hint="eastAsia"/>
          <w:b/>
        </w:rPr>
        <w:t>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/>
          <w:b/>
        </w:rPr>
        <w:t>bKAGRA development</w:t>
      </w:r>
    </w:p>
    <w:p w:rsidR="00B56B6A" w:rsidRDefault="00E03170" w:rsidP="00DA509F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="004E5984">
        <w:rPr>
          <w:rFonts w:ascii="Times New Roman" w:hAnsi="Times New Roman"/>
          <w:sz w:val="20"/>
          <w:szCs w:val="20"/>
        </w:rPr>
        <w:t>operation of bK</w:t>
      </w:r>
      <w:r w:rsidR="00E54104">
        <w:rPr>
          <w:rFonts w:ascii="Times New Roman" w:hAnsi="Times New Roman"/>
          <w:sz w:val="20"/>
          <w:szCs w:val="20"/>
        </w:rPr>
        <w:t>AGRA</w:t>
      </w:r>
      <w:r>
        <w:rPr>
          <w:rFonts w:ascii="Times New Roman" w:hAnsi="Times New Roman"/>
          <w:sz w:val="20"/>
          <w:szCs w:val="20"/>
        </w:rPr>
        <w:t xml:space="preserve"> is planned to begin in 2019.</w:t>
      </w:r>
      <w:r w:rsidR="004E5984">
        <w:rPr>
          <w:rFonts w:ascii="Times New Roman" w:hAnsi="Times New Roman"/>
          <w:sz w:val="20"/>
          <w:szCs w:val="20"/>
        </w:rPr>
        <w:t xml:space="preserve"> Production of seismic attenuation system for room temperature mirrors, </w:t>
      </w:r>
      <w:r w:rsidR="00DA509F">
        <w:rPr>
          <w:rFonts w:ascii="Times New Roman" w:hAnsi="Times New Roman"/>
          <w:sz w:val="20"/>
          <w:szCs w:val="20"/>
        </w:rPr>
        <w:t xml:space="preserve">first prototype test of </w:t>
      </w:r>
      <w:r w:rsidR="004E5984">
        <w:rPr>
          <w:rFonts w:ascii="Times New Roman" w:hAnsi="Times New Roman"/>
          <w:sz w:val="20"/>
          <w:szCs w:val="20"/>
        </w:rPr>
        <w:t>cryogenic suspension, procurement of high quality sapphire mirrors, and development of 180 W high power laser</w:t>
      </w:r>
      <w:r w:rsidR="00DA509F">
        <w:rPr>
          <w:rFonts w:ascii="Times New Roman" w:hAnsi="Times New Roman"/>
          <w:sz w:val="20"/>
          <w:szCs w:val="20"/>
        </w:rPr>
        <w:t xml:space="preserve"> are</w:t>
      </w:r>
      <w:r w:rsidR="004E5984">
        <w:rPr>
          <w:rFonts w:ascii="Times New Roman" w:hAnsi="Times New Roman"/>
          <w:sz w:val="20"/>
          <w:szCs w:val="20"/>
        </w:rPr>
        <w:t xml:space="preserve"> currently underway.</w:t>
      </w:r>
    </w:p>
    <w:p w:rsidR="00DA509F" w:rsidRPr="00DA509F" w:rsidRDefault="00DA509F" w:rsidP="00DA509F">
      <w:pPr>
        <w:snapToGrid w:val="0"/>
        <w:rPr>
          <w:rFonts w:ascii="Times New Roman" w:eastAsia="ＭＳ 明朝" w:hAnsi="Times New Roman"/>
          <w:sz w:val="16"/>
          <w:szCs w:val="20"/>
          <w:lang w:eastAsia="ja-JP"/>
        </w:rPr>
      </w:pPr>
      <w:r>
        <w:rPr>
          <w:rFonts w:ascii="Times New Roman" w:eastAsia="ＭＳ 明朝" w:hAnsi="Times New Roman" w:hint="eastAsia"/>
          <w:sz w:val="16"/>
          <w:szCs w:val="20"/>
          <w:lang w:eastAsia="ja-JP"/>
        </w:rPr>
        <w:t xml:space="preserve"> </w:t>
      </w:r>
    </w:p>
    <w:p w:rsidR="00B56B6A" w:rsidRDefault="00B56B6A" w:rsidP="00B56B6A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Acknowledgements</w:t>
      </w:r>
      <w:bookmarkStart w:id="0" w:name="_GoBack"/>
      <w:bookmarkEnd w:id="0"/>
    </w:p>
    <w:p w:rsidR="00DA509F" w:rsidRDefault="00B07B3D" w:rsidP="00B56B6A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B07B3D">
        <w:rPr>
          <w:rFonts w:ascii="Times New Roman" w:hAnsi="Times New Roman" w:cs="Times New Roman"/>
          <w:sz w:val="18"/>
          <w:szCs w:val="18"/>
        </w:rPr>
        <w:t>This work was supported by MEXT, JSPS Leading-edge Research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Infrastructure Program, JSPS Grant-in-Aid for Specially Promoted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Research 26000005, MEXT Grant-in-Aid for Scientific Research on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Innovative Areas 24103005, JSPS Core-to-Core Program, A. Advanced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Research Networks, and the joint research program of the Institute for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Cosmic Ray Research, University of Tokyo.</w:t>
      </w:r>
    </w:p>
    <w:p w:rsidR="00DA509F" w:rsidRPr="00DA509F" w:rsidRDefault="00DA509F" w:rsidP="00DA509F">
      <w:pPr>
        <w:snapToGrid w:val="0"/>
        <w:rPr>
          <w:rFonts w:ascii="Times New Roman" w:hAnsi="Times New Roman"/>
          <w:sz w:val="14"/>
          <w:szCs w:val="18"/>
        </w:rPr>
      </w:pPr>
    </w:p>
    <w:p w:rsidR="00B56B6A" w:rsidRDefault="00B56B6A" w:rsidP="00B56B6A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References</w:t>
      </w:r>
    </w:p>
    <w:p w:rsidR="002D55CE" w:rsidRPr="00DA42AE" w:rsidRDefault="00B56B6A" w:rsidP="00DA42AE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/>
        </w:rPr>
      </w:pPr>
      <w:r w:rsidRPr="00B56B6A">
        <w:rPr>
          <w:rFonts w:ascii="Times New Roman" w:hAnsi="Times New Roman" w:cs="Times New Roman" w:hint="eastAsia"/>
          <w:sz w:val="18"/>
          <w:szCs w:val="18"/>
        </w:rPr>
        <w:t>[1]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07B3D" w:rsidRPr="00B07B3D">
        <w:rPr>
          <w:rFonts w:ascii="Times New Roman" w:hAnsi="Times New Roman" w:cs="Times New Roman"/>
          <w:sz w:val="18"/>
          <w:szCs w:val="18"/>
        </w:rPr>
        <w:t xml:space="preserve">Yoichi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Aso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Yuta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Michimura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Kentaro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Somiya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Masaki Ando, Osamu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Miyakawa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Takanori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Sekiguchi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Daisuke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Tatsumi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>, Hiroaki Yamamoto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B07B3D" w:rsidRPr="00DA509F">
        <w:rPr>
          <w:rFonts w:ascii="Times New Roman" w:hAnsi="Times New Roman" w:cs="Times New Roman" w:hint="eastAsia"/>
          <w:i/>
          <w:sz w:val="18"/>
          <w:szCs w:val="18"/>
        </w:rPr>
        <w:t>Interferometer design of the KAGRA gravitational wave detector</w:t>
      </w:r>
      <w:r w:rsidR="00B07B3D">
        <w:rPr>
          <w:rFonts w:ascii="Times New Roman" w:hAnsi="Times New Roman" w:cs="Times New Roman" w:hint="eastAsia"/>
          <w:sz w:val="18"/>
          <w:szCs w:val="18"/>
        </w:rPr>
        <w:t>, Phys.</w:t>
      </w:r>
      <w:r w:rsidR="00B07B3D">
        <w:rPr>
          <w:rFonts w:ascii="Times New Roman" w:hAnsi="Times New Roman" w:cs="Times New Roman"/>
          <w:sz w:val="18"/>
          <w:szCs w:val="18"/>
        </w:rPr>
        <w:t xml:space="preserve"> Rev. D</w:t>
      </w:r>
      <w:r w:rsidR="00B07B3D">
        <w:rPr>
          <w:rFonts w:ascii="Times New Roman" w:hAnsi="Times New Roman" w:cs="Times New Roman" w:hint="eastAsia"/>
          <w:sz w:val="18"/>
          <w:szCs w:val="18"/>
        </w:rPr>
        <w:t xml:space="preserve"> 88, 043007 (2013</w:t>
      </w:r>
      <w:r>
        <w:rPr>
          <w:rFonts w:ascii="Times New Roman" w:hAnsi="Times New Roman" w:cs="Times New Roman" w:hint="eastAsia"/>
          <w:sz w:val="18"/>
          <w:szCs w:val="18"/>
        </w:rPr>
        <w:t>).</w:t>
      </w:r>
      <w:r w:rsidR="002D55CE" w:rsidRPr="00906639">
        <w:rPr>
          <w:rFonts w:ascii="Times New Roman" w:hAnsi="Times New Roman" w:hint="eastAsia"/>
        </w:rPr>
        <w:t xml:space="preserve"> </w:t>
      </w:r>
    </w:p>
    <w:sectPr w:rsidR="002D55CE" w:rsidRPr="00DA42AE" w:rsidSect="00297609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BC" w:rsidRDefault="00A028BC" w:rsidP="00C365FC">
      <w:r>
        <w:separator/>
      </w:r>
    </w:p>
  </w:endnote>
  <w:endnote w:type="continuationSeparator" w:id="0">
    <w:p w:rsidR="00A028BC" w:rsidRDefault="00A028BC" w:rsidP="00C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BC" w:rsidRDefault="00A028BC" w:rsidP="00C365FC">
      <w:r>
        <w:separator/>
      </w:r>
    </w:p>
  </w:footnote>
  <w:footnote w:type="continuationSeparator" w:id="0">
    <w:p w:rsidR="00A028BC" w:rsidRDefault="00A028BC" w:rsidP="00C3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 w:rsidP="002976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 w:rsidP="002976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4FC"/>
    <w:multiLevelType w:val="hybridMultilevel"/>
    <w:tmpl w:val="8A16DB3E"/>
    <w:lvl w:ilvl="0" w:tplc="54CEC27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" w15:restartNumberingAfterBreak="0">
    <w:nsid w:val="631F6EF1"/>
    <w:multiLevelType w:val="hybridMultilevel"/>
    <w:tmpl w:val="F50EAE1E"/>
    <w:lvl w:ilvl="0" w:tplc="33D61982">
      <w:start w:val="1"/>
      <w:numFmt w:val="decimalEnclosedCircle"/>
      <w:lvlText w:val="%1"/>
      <w:lvlJc w:val="left"/>
      <w:pPr>
        <w:ind w:left="598" w:hanging="360"/>
      </w:pPr>
      <w:rPr>
        <w:rFonts w:ascii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79"/>
    <w:rsid w:val="0003675C"/>
    <w:rsid w:val="000E7B16"/>
    <w:rsid w:val="000F159D"/>
    <w:rsid w:val="00123023"/>
    <w:rsid w:val="00136FB5"/>
    <w:rsid w:val="00153615"/>
    <w:rsid w:val="001F389A"/>
    <w:rsid w:val="00273182"/>
    <w:rsid w:val="00297609"/>
    <w:rsid w:val="002D55CE"/>
    <w:rsid w:val="002D5B32"/>
    <w:rsid w:val="003A0AF4"/>
    <w:rsid w:val="003E2CCE"/>
    <w:rsid w:val="003F3D20"/>
    <w:rsid w:val="00400515"/>
    <w:rsid w:val="00423C77"/>
    <w:rsid w:val="0047558C"/>
    <w:rsid w:val="004E5984"/>
    <w:rsid w:val="00504542"/>
    <w:rsid w:val="005602DF"/>
    <w:rsid w:val="005C3E14"/>
    <w:rsid w:val="005D4780"/>
    <w:rsid w:val="005F1FCF"/>
    <w:rsid w:val="006A502E"/>
    <w:rsid w:val="006B30C8"/>
    <w:rsid w:val="006C370A"/>
    <w:rsid w:val="00744550"/>
    <w:rsid w:val="007C0145"/>
    <w:rsid w:val="00827360"/>
    <w:rsid w:val="008F476B"/>
    <w:rsid w:val="00920A99"/>
    <w:rsid w:val="009F08B9"/>
    <w:rsid w:val="00A028BC"/>
    <w:rsid w:val="00A452BE"/>
    <w:rsid w:val="00AC7137"/>
    <w:rsid w:val="00B07B3D"/>
    <w:rsid w:val="00B56B6A"/>
    <w:rsid w:val="00BD24ED"/>
    <w:rsid w:val="00C365FC"/>
    <w:rsid w:val="00CA054E"/>
    <w:rsid w:val="00CE3794"/>
    <w:rsid w:val="00CF4DB8"/>
    <w:rsid w:val="00D77879"/>
    <w:rsid w:val="00DA42AE"/>
    <w:rsid w:val="00DA509F"/>
    <w:rsid w:val="00E03170"/>
    <w:rsid w:val="00E42CBA"/>
    <w:rsid w:val="00E54104"/>
    <w:rsid w:val="00EA0053"/>
    <w:rsid w:val="00EB2AFD"/>
    <w:rsid w:val="00EC1177"/>
    <w:rsid w:val="00F51714"/>
    <w:rsid w:val="00F840DF"/>
    <w:rsid w:val="00F9416E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FC9023-9AF1-435E-B7AE-4EC1D8C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6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0145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</w:rPr>
  </w:style>
  <w:style w:type="paragraph" w:styleId="a4">
    <w:name w:val="header"/>
    <w:basedOn w:val="a"/>
    <w:link w:val="a5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rsid w:val="00C365FC"/>
    <w:rPr>
      <w:rFonts w:ascii="Malgun Gothic" w:eastAsia="Malgun Gothic" w:hAnsi="Malgun Gothic"/>
      <w:kern w:val="2"/>
      <w:sz w:val="24"/>
      <w:szCs w:val="22"/>
    </w:rPr>
  </w:style>
  <w:style w:type="paragraph" w:styleId="a6">
    <w:name w:val="footer"/>
    <w:basedOn w:val="a"/>
    <w:link w:val="a7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rsid w:val="00C365FC"/>
    <w:rPr>
      <w:rFonts w:ascii="Malgun Gothic" w:eastAsia="Malgun Gothic" w:hAnsi="Malgun Gothic"/>
      <w:kern w:val="2"/>
      <w:sz w:val="24"/>
      <w:szCs w:val="22"/>
    </w:rPr>
  </w:style>
  <w:style w:type="character" w:styleId="a8">
    <w:name w:val="Hyperlink"/>
    <w:rsid w:val="00C3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BA76-1DAE-4099-95D2-71996FA4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Instructions for Preparing an Abstract for an OSK meeting</vt:lpstr>
      <vt:lpstr>Instructions for Preparing an Abstract for an OSK meeting</vt:lpstr>
    </vt:vector>
  </TitlesOfParts>
  <Company>Seoul National Univeristy</Company>
  <LinksUpToDate>false</LinksUpToDate>
  <CharactersWithSpaces>3881</CharactersWithSpaces>
  <SharedDoc>false</SharedDoc>
  <HLinks>
    <vt:vector size="6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mailto:jymin@snu.ac.kr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 Abstract for an OSK meeting</dc:title>
  <dc:subject/>
  <dc:creator>Kyungwon An</dc:creator>
  <cp:keywords/>
  <cp:lastModifiedBy>yuta</cp:lastModifiedBy>
  <cp:revision>24</cp:revision>
  <dcterms:created xsi:type="dcterms:W3CDTF">2016-05-06T06:39:00Z</dcterms:created>
  <dcterms:modified xsi:type="dcterms:W3CDTF">2016-05-13T06:05:00Z</dcterms:modified>
</cp:coreProperties>
</file>