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2B" w:rsidRDefault="00F0742B">
      <w:r>
        <w:rPr>
          <w:rFonts w:hint="eastAsia"/>
        </w:rPr>
        <w:t>ビーム径の距離依存性について</w:t>
      </w:r>
    </w:p>
    <w:p w:rsidR="00F0742B" w:rsidRDefault="00F0742B">
      <w:r>
        <w:rPr>
          <w:rFonts w:hint="eastAsia"/>
        </w:rPr>
        <w:t>作成日：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F0742B" w:rsidRPr="00F0742B" w:rsidRDefault="00F0742B">
      <w:r>
        <w:rPr>
          <w:rFonts w:hint="eastAsia"/>
        </w:rPr>
        <w:t>最終更新日：</w:t>
      </w:r>
      <w:r w:rsidR="00636FC5">
        <w:rPr>
          <w:rFonts w:hint="eastAsia"/>
        </w:rPr>
        <w:t>2015</w:t>
      </w:r>
      <w:r>
        <w:rPr>
          <w:rFonts w:hint="eastAsia"/>
        </w:rPr>
        <w:t>年</w:t>
      </w:r>
      <w:r w:rsidR="00D93A2D">
        <w:rPr>
          <w:rFonts w:hint="eastAsia"/>
        </w:rPr>
        <w:t>2</w:t>
      </w:r>
      <w:r>
        <w:rPr>
          <w:rFonts w:hint="eastAsia"/>
        </w:rPr>
        <w:t>月</w:t>
      </w:r>
      <w:r w:rsidR="00D93A2D">
        <w:rPr>
          <w:rFonts w:hint="eastAsia"/>
        </w:rPr>
        <w:t>3</w:t>
      </w:r>
      <w:r>
        <w:rPr>
          <w:rFonts w:hint="eastAsia"/>
        </w:rPr>
        <w:t>日</w:t>
      </w:r>
    </w:p>
    <w:p w:rsidR="00F0742B" w:rsidRPr="00F0742B" w:rsidRDefault="00F0742B"/>
    <w:p w:rsidR="00F67FEA" w:rsidRDefault="00F67FEA"/>
    <w:p w:rsidR="00F97598" w:rsidRDefault="00F67FEA">
      <w:r>
        <w:rPr>
          <w:rFonts w:hint="eastAsia"/>
        </w:rPr>
        <w:t>まず，</w:t>
      </w:r>
      <w:r w:rsidR="00F97598">
        <w:rPr>
          <w:rFonts w:hint="eastAsia"/>
        </w:rPr>
        <w:t>以下のように数値</w:t>
      </w:r>
      <w:r w:rsidR="00F024A4">
        <w:rPr>
          <w:rFonts w:hint="eastAsia"/>
        </w:rPr>
        <w:t>・記号</w:t>
      </w:r>
      <w:r w:rsidR="00F97598">
        <w:rPr>
          <w:rFonts w:hint="eastAsia"/>
        </w:rPr>
        <w:t>を定</w:t>
      </w:r>
      <w:r w:rsidR="00F024A4">
        <w:rPr>
          <w:rFonts w:hint="eastAsia"/>
        </w:rPr>
        <w:t>め</w:t>
      </w:r>
      <w:r w:rsidR="00F97598">
        <w:rPr>
          <w:rFonts w:hint="eastAsia"/>
        </w:rPr>
        <w:t>る．</w:t>
      </w:r>
    </w:p>
    <w:p w:rsidR="00D52944" w:rsidRDefault="00D52944"/>
    <w:p w:rsidR="00F0742B" w:rsidRDefault="006F62CD">
      <w:r>
        <w:rPr>
          <w:rFonts w:hint="eastAsia"/>
        </w:rPr>
        <w:t>レンズの厚さ</w:t>
      </w:r>
      <w:r w:rsidR="00F97598">
        <w:rPr>
          <w:rFonts w:hint="eastAsia"/>
        </w:rPr>
        <w:t>：</w:t>
      </w:r>
      <w:r w:rsidR="00F97598">
        <w:rPr>
          <w:rFonts w:hint="eastAsia"/>
        </w:rPr>
        <w:t>t</w:t>
      </w:r>
      <w:r w:rsidR="005674AC">
        <w:rPr>
          <w:rFonts w:hint="eastAsia"/>
        </w:rPr>
        <w:t xml:space="preserve"> (t&lt;&lt;f)</w:t>
      </w:r>
    </w:p>
    <w:p w:rsidR="00943DD3" w:rsidRPr="00943DD3" w:rsidRDefault="00943DD3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π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pi()</m:t>
          </m:r>
        </m:oMath>
      </m:oMathPara>
    </w:p>
    <w:p w:rsidR="00943DD3" w:rsidRPr="00943DD3" w:rsidRDefault="00296723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：</m:t>
          </m:r>
          <m:r>
            <w:rPr>
              <w:rFonts w:ascii="Cambria Math" w:hAnsi="Cambria Math"/>
            </w:rPr>
            <m:t>x^y</m:t>
          </m:r>
        </m:oMath>
      </m:oMathPara>
    </w:p>
    <w:p w:rsidR="00D52944" w:rsidRPr="00B42CC2" w:rsidRDefault="00296723" w:rsidP="00D52944"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>：</m:t>
          </m:r>
          <m:r>
            <w:rPr>
              <w:rFonts w:ascii="Cambria Math" w:hAnsi="Cambria Math"/>
            </w:rPr>
            <m:t>sqrt(x)</m:t>
          </m:r>
        </m:oMath>
      </m:oMathPara>
    </w:p>
    <w:p w:rsidR="00332FEC" w:rsidRPr="00B42CC2" w:rsidRDefault="00B42CC2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xy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x*y</m:t>
          </m:r>
        </m:oMath>
      </m:oMathPara>
    </w:p>
    <w:p w:rsidR="00D52944" w:rsidRPr="00943DD3" w:rsidRDefault="00D52944"/>
    <w:p w:rsidR="00943DD3" w:rsidRPr="00943DD3" w:rsidRDefault="00332FE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　とすると</m:t>
          </m:r>
        </m:oMath>
      </m:oMathPara>
    </w:p>
    <w:p w:rsidR="00332FEC" w:rsidRPr="00332FEC" w:rsidRDefault="00332FE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w:rPr>
              <w:rFonts w:ascii="Cambria Math" w:hAnsi="Cambria Math"/>
            </w:rPr>
            <m:t>[a,b:c,d]</m:t>
          </m:r>
        </m:oMath>
      </m:oMathPara>
    </w:p>
    <w:p w:rsidR="00332FEC" w:rsidRPr="00332FEC" w:rsidRDefault="00332FE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A(1,1)</m:t>
          </m:r>
        </m:oMath>
      </m:oMathPara>
    </w:p>
    <w:p w:rsidR="00332FEC" w:rsidRPr="00332FEC" w:rsidRDefault="00332FE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A(1,2)</m:t>
          </m:r>
        </m:oMath>
      </m:oMathPara>
    </w:p>
    <w:p w:rsidR="00332FEC" w:rsidRPr="00332FEC" w:rsidRDefault="00332FE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2,1</m:t>
              </m:r>
            </m:e>
          </m:d>
        </m:oMath>
      </m:oMathPara>
    </w:p>
    <w:p w:rsidR="00332FEC" w:rsidRPr="00D52944" w:rsidRDefault="00332FE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：</m:t>
          </m:r>
          <m:r>
            <m:rPr>
              <m:sty m:val="p"/>
            </m:rPr>
            <w:rPr>
              <w:rFonts w:ascii="Cambria Math" w:hAnsi="Cambria Math"/>
            </w:rPr>
            <m:t>A(2,2)</m:t>
          </m:r>
        </m:oMath>
      </m:oMathPara>
    </w:p>
    <w:p w:rsidR="00B42CC2" w:rsidRPr="00332FEC" w:rsidRDefault="00B42CC2"/>
    <w:p w:rsidR="00D52944" w:rsidRPr="00D52944" w:rsidRDefault="00D52944" w:rsidP="0072262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C=α+iβ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 xml:space="preserve">　とすると</m:t>
          </m:r>
        </m:oMath>
      </m:oMathPara>
    </w:p>
    <w:p w:rsidR="00D52944" w:rsidRPr="00B42CC2" w:rsidRDefault="00B42CC2" w:rsidP="0072262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α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：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real</m:t>
          </m:r>
          <m:d>
            <m:dPr>
              <m:ctrlPr>
                <w:rPr>
                  <w:rFonts w:ascii="Cambria Math" w:eastAsia="ＭＳ ゴシック" w:hAnsi="Cambria Math" w:cs="ＭＳ ゴシック"/>
                  <w:kern w:val="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ＭＳ ゴシック" w:hAnsi="Cambria Math" w:cs="ＭＳ ゴシック"/>
                  <w:kern w:val="0"/>
                  <w:sz w:val="20"/>
                  <w:szCs w:val="20"/>
                </w:rPr>
                <m:t>C</m:t>
              </m:r>
            </m:e>
          </m:d>
        </m:oMath>
      </m:oMathPara>
    </w:p>
    <w:p w:rsidR="00B42CC2" w:rsidRPr="00B42CC2" w:rsidRDefault="00B42CC2" w:rsidP="0072262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β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：</m:t>
          </m:r>
          <m:r>
            <m:rPr>
              <m:sty m:val="p"/>
            </m:rPr>
            <w:rPr>
              <w:rFonts w:ascii="Cambria Math" w:eastAsia="ＭＳ ゴシック" w:hAnsi="Cambria Math" w:cs="ＭＳ ゴシック"/>
              <w:kern w:val="0"/>
              <w:sz w:val="20"/>
              <w:szCs w:val="20"/>
            </w:rPr>
            <m:t>imag(C)</m:t>
          </m:r>
        </m:oMath>
      </m:oMathPara>
    </w:p>
    <w:p w:rsidR="00B42CC2" w:rsidRPr="00B42CC2" w:rsidRDefault="00B42CC2" w:rsidP="0072262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</w:p>
    <w:p w:rsidR="00D52944" w:rsidRDefault="00D52944" w:rsidP="0072262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228B22"/>
          <w:kern w:val="0"/>
          <w:sz w:val="20"/>
          <w:szCs w:val="20"/>
        </w:rPr>
      </w:pPr>
    </w:p>
    <w:p w:rsidR="00722628" w:rsidRPr="00963C7B" w:rsidRDefault="00963C7B" w:rsidP="00963C7B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/>
          <w:kern w:val="0"/>
          <w:sz w:val="28"/>
          <w:szCs w:val="28"/>
        </w:rPr>
      </w:pPr>
      <w:r w:rsidRPr="00963C7B">
        <w:rPr>
          <w:rFonts w:ascii="ＭＳ ゴシック" w:eastAsia="ＭＳ ゴシック" w:cs="ＭＳ ゴシック"/>
          <w:color w:val="228B22"/>
          <w:kern w:val="0"/>
          <w:sz w:val="28"/>
          <w:szCs w:val="28"/>
        </w:rPr>
        <w:t>RF PDの位置について</w:t>
      </w:r>
    </w:p>
    <w:p w:rsidR="00722628" w:rsidRDefault="00722628" w:rsidP="004313E4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 = 1.516454225+16.8465i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 xml:space="preserve">% qパラメータの初期値[m]　　</w:t>
      </w:r>
    </w:p>
    <w:p w:rsidR="00722628" w:rsidRPr="00DD5B2D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DD5B2D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f = 0.75       </w:t>
      </w:r>
      <w:r w:rsidR="004313E4" w:rsidRPr="00DD5B2D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　　</w:t>
      </w:r>
      <w:r w:rsidRPr="00DD5B2D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      </w:t>
      </w:r>
      <w:r w:rsidRPr="00DD5B2D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 xml:space="preserve">%焦点距離[m]　　</w:t>
      </w:r>
    </w:p>
    <w:p w:rsidR="00722628" w:rsidRPr="00DD5B2D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DD5B2D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z1= 0.5                  </w:t>
      </w:r>
      <w:r w:rsidRPr="00DD5B2D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%凸レンズまでの距離[m]</w:t>
      </w:r>
    </w:p>
    <w:p w:rsidR="00722628" w:rsidRDefault="004313E4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z2= 1.5            </w:t>
      </w:r>
      <w:r w:rsidR="00722628"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     </w:t>
      </w:r>
      <w:r w:rsidR="00722628"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%凸レンズ透過後の伝搬距離[m](z2&gt;f)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% % % % % % % % % % % % % % % % % % % % % % % % % % % % % % % % % % % % %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lastRenderedPageBreak/>
        <w:t xml:space="preserve">k = (2*pi()/(1064*10^-9))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k:波数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w01 = sqrt((2*imag(q))/k)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w01:ウエスト初期値  imag(q):レイリー長初期値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w11 = w01*sqrt(1+(real(q)/imag(q))^2)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ビーム径初期値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m1 = [1,z1;0,1]*[q;1]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q1 = m1(1,1)/m1(2,1)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z1[m]伝搬した時のqパラメータ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m2 = [1,0;-(1/f),1]*m1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q2 = m2(1,1)/m2(2,1)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焦点距離f[m]の凸レンズ通過直後のqパラメータ</w:t>
      </w:r>
    </w:p>
    <w:p w:rsidR="00722628" w:rsidRPr="00B42CC2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B42CC2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w02 = sqrt((2*imag(q2))/k)   </w:t>
      </w:r>
      <w:r w:rsidRPr="00B42CC2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  凸レンズによるウエスト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w12 = w02*sqrt(1+(real(q2)/imag(q2))^2)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凸レンズ透過直後のビーム径()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real(q2):ウエストまでの距離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imag(q2):凸レンズのレイリー長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m3 = [1,z2;0,1]*m2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q3 = m3(1,1)/m3(2,1)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%凸レンズ透過後z2[m]伝搬した時のqパラメータ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w13 = w02*sqrt(1+(real(q3)/imag(q3))^2)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 = [w11,w12,w02,w13]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z = [0,z1,z1-real(q2),z1+z2]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plot(z,w)</w:t>
      </w:r>
    </w:p>
    <w:p w:rsidR="00722628" w:rsidRPr="00C64924" w:rsidRDefault="00C64924" w:rsidP="002F5446">
      <w:pPr>
        <w:rPr>
          <w:b/>
        </w:rPr>
      </w:pPr>
      <w:r w:rsidRPr="00C64924">
        <w:rPr>
          <w:rFonts w:hint="eastAsia"/>
          <w:b/>
        </w:rPr>
        <w:t>w02</w:t>
      </w:r>
      <w:r w:rsidRPr="00C64924">
        <w:rPr>
          <w:rFonts w:hint="eastAsia"/>
          <w:b/>
        </w:rPr>
        <w:t>≒</w:t>
      </w:r>
      <w:r w:rsidRPr="00C64924">
        <w:rPr>
          <w:b/>
        </w:rPr>
        <w:t>0.106mm</w:t>
      </w:r>
      <w:r w:rsidR="00C948D4">
        <w:rPr>
          <w:b/>
        </w:rPr>
        <w:t xml:space="preserve"> (z=1.2525m)</w:t>
      </w:r>
    </w:p>
    <w:p w:rsidR="0045110D" w:rsidRPr="00EA565B" w:rsidRDefault="00722628">
      <w:r>
        <w:rPr>
          <w:noProof/>
        </w:rPr>
        <w:drawing>
          <wp:inline distT="0" distB="0" distL="0" distR="0">
            <wp:extent cx="5400040" cy="272034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gle_radi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628" w:rsidRDefault="00722628" w:rsidP="00722628">
      <w:pPr>
        <w:jc w:val="center"/>
      </w:pPr>
      <w:r>
        <w:t>図</w:t>
      </w:r>
      <w:r>
        <w:t>1</w:t>
      </w:r>
      <w:r>
        <w:t xml:space="preserve">　ウエストが</w:t>
      </w:r>
      <w:r>
        <w:rPr>
          <w:rFonts w:hint="eastAsia"/>
        </w:rPr>
        <w:t>0.1mm</w:t>
      </w:r>
      <w:r>
        <w:rPr>
          <w:rFonts w:hint="eastAsia"/>
        </w:rPr>
        <w:t>程度になるように凸レンズを置いた時の距離依存特性</w:t>
      </w:r>
    </w:p>
    <w:p w:rsidR="00DD5B2D" w:rsidRDefault="00DD5B2D"/>
    <w:p w:rsidR="00722628" w:rsidRDefault="00722628"/>
    <w:p w:rsidR="00963C7B" w:rsidRPr="00963C7B" w:rsidRDefault="00963C7B" w:rsidP="00963C7B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/>
          <w:kern w:val="0"/>
          <w:sz w:val="28"/>
          <w:szCs w:val="28"/>
        </w:rPr>
      </w:pPr>
      <w:r>
        <w:rPr>
          <w:rFonts w:ascii="ＭＳ ゴシック" w:eastAsia="ＭＳ ゴシック" w:cs="ＭＳ ゴシック"/>
          <w:color w:val="228B22"/>
          <w:kern w:val="0"/>
          <w:sz w:val="28"/>
          <w:szCs w:val="28"/>
        </w:rPr>
        <w:t>2つの</w:t>
      </w:r>
      <w:r>
        <w:rPr>
          <w:rFonts w:ascii="ＭＳ ゴシック" w:eastAsia="ＭＳ ゴシック" w:cs="ＭＳ ゴシック" w:hint="eastAsia"/>
          <w:color w:val="228B22"/>
          <w:kern w:val="0"/>
          <w:sz w:val="28"/>
          <w:szCs w:val="28"/>
        </w:rPr>
        <w:t>Q</w:t>
      </w:r>
      <w:r w:rsidRPr="00963C7B">
        <w:rPr>
          <w:rFonts w:ascii="ＭＳ ゴシック" w:eastAsia="ＭＳ ゴシック" w:cs="ＭＳ ゴシック"/>
          <w:color w:val="228B22"/>
          <w:kern w:val="0"/>
          <w:sz w:val="28"/>
          <w:szCs w:val="28"/>
        </w:rPr>
        <w:t>PDの位置について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 = 1.516454225+16.8465i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 xml:space="preserve">% qパラメータの初期値[m]　　</w:t>
      </w:r>
    </w:p>
    <w:p w:rsidR="00722628" w:rsidRPr="00C64924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C64924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f = 0.15                 </w:t>
      </w:r>
      <w:r w:rsidRPr="00C64924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 xml:space="preserve">%焦点距離[m]　　</w:t>
      </w:r>
    </w:p>
    <w:p w:rsidR="00722628" w:rsidRPr="00C64924" w:rsidRDefault="00963C7B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>z1= 0.5</w:t>
      </w:r>
      <w:r w:rsidR="00722628" w:rsidRPr="00C64924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                  </w:t>
      </w:r>
      <w:r w:rsidR="00722628" w:rsidRPr="00C64924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%凸レンズまでの距離[m]</w:t>
      </w:r>
    </w:p>
    <w:p w:rsidR="00722628" w:rsidRPr="00C64924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C64924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z2= 0.0585               </w:t>
      </w:r>
      <w:r w:rsidRPr="00C64924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%凹凸間の距離[m]</w:t>
      </w:r>
    </w:p>
    <w:p w:rsidR="00722628" w:rsidRPr="00C64924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b/>
          <w:kern w:val="0"/>
          <w:sz w:val="24"/>
          <w:szCs w:val="24"/>
        </w:rPr>
      </w:pPr>
      <w:r w:rsidRPr="00C64924">
        <w:rPr>
          <w:rFonts w:ascii="ＭＳ ゴシック" w:eastAsia="ＭＳ ゴシック" w:cs="ＭＳ ゴシック"/>
          <w:b/>
          <w:color w:val="000000"/>
          <w:kern w:val="0"/>
          <w:sz w:val="20"/>
          <w:szCs w:val="20"/>
        </w:rPr>
        <w:t xml:space="preserve">f4= -0.1                 </w:t>
      </w:r>
      <w:r w:rsidRPr="00C64924">
        <w:rPr>
          <w:rFonts w:ascii="ＭＳ ゴシック" w:eastAsia="ＭＳ ゴシック" w:cs="ＭＳ ゴシック" w:hint="eastAsia"/>
          <w:b/>
          <w:color w:val="228B22"/>
          <w:kern w:val="0"/>
          <w:sz w:val="20"/>
          <w:szCs w:val="20"/>
        </w:rPr>
        <w:t>%凹レンズの焦点距離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z5= 3                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%凹レンズ透過後の伝搬距離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% % % % % % % % % % % % % % % % % % % % % % % % % % % % % % % % % % % % %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k = (2*pi()/(1064*10^-9))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k:波数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zr1 = real(q)  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zi1 = imag(q)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レイリー長初期値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w01 = sqrt((2*zi1)/k)   </w:t>
      </w: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%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 xml:space="preserve">ウエスト初期値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w11 = w01*sqrt(1+(zr1/zi1)^2)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ビーム径初期値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m1 = [1,z1;0,1]*[q;1]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q1 = m1(1,1)/m1(2,1)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z1[m]伝搬した時のqパラメータ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m2 = [1,0;-(1/f),1]*m1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q2 = m2(1,1)/m2(2,1)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焦点距離f[m]の凸レンズ通過直後のqパラメータ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zr2 = real(q2)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ウエストまでの距離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zi2 = imag(q2)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凸レンズのレイリー長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w02 = sqrt((2*zi2)/k)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  凸レンズによるウエスト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w12 = w02*sqrt(1+(zr2/zi2)^2)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　凸レンズ透過直後のビーム径()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m3 = [1,z2;0,1]*m2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q3 = m3(1,1)/m3(2,1)   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%凸レンズ透過後z2[m]伝搬した時のqパラメータ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w13 = w02*sqrt(1+(real(q3)/imag(q3))^2)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%↑のときのビーム径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m4 = [1,0;-(1/f4),1]*m3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lastRenderedPageBreak/>
        <w:t>q4 = m4(1,1)/m4(2,1)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w04 = sqrt((2*imag(q4))/k)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%(凸レンズと)凹レンズによるウエスト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w14 = w04*sqrt(1+(real(q4)/imag(q4))^2) </w:t>
      </w:r>
      <w:r>
        <w:rPr>
          <w:rFonts w:ascii="ＭＳ ゴシック" w:eastAsia="ＭＳ ゴシック" w:cs="ＭＳ ゴシック" w:hint="eastAsia"/>
          <w:color w:val="228B22"/>
          <w:kern w:val="0"/>
          <w:sz w:val="20"/>
          <w:szCs w:val="20"/>
        </w:rPr>
        <w:t>%凹レンズ透過直後のビーム径(=w13?)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228B22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m5 = [1,z5;0,1]*m4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q5 = m5(1,1)/m5(2,1)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w15 = w04*sqrt(1+(real(q5)/imag(q5))^2)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 xml:space="preserve"> 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w = [w11,w12,w13,w04,w15]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z = [0,z1,z1+z2,z1+z2-real(q4),z1+z2+z5]</w:t>
      </w:r>
    </w:p>
    <w:p w:rsidR="00722628" w:rsidRDefault="00722628" w:rsidP="00722628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  <w:t>plot(z,w)</w:t>
      </w:r>
    </w:p>
    <w:p w:rsidR="00722628" w:rsidRPr="00C64924" w:rsidRDefault="00C948D4">
      <w:pPr>
        <w:rPr>
          <w:b/>
        </w:rPr>
      </w:pPr>
      <w:r>
        <w:rPr>
          <w:rFonts w:hint="eastAsia"/>
          <w:b/>
        </w:rPr>
        <w:t>w04</w:t>
      </w:r>
      <w:r>
        <w:rPr>
          <w:rFonts w:hint="eastAsia"/>
          <w:b/>
        </w:rPr>
        <w:t>≒</w:t>
      </w:r>
      <w:r>
        <w:rPr>
          <w:rFonts w:hint="eastAsia"/>
          <w:b/>
        </w:rPr>
        <w:t>0.2500</w:t>
      </w:r>
      <w:r w:rsidR="00C64924" w:rsidRPr="00C64924">
        <w:rPr>
          <w:b/>
        </w:rPr>
        <w:t>mm</w:t>
      </w:r>
      <w:r w:rsidR="00E670B9">
        <w:rPr>
          <w:b/>
        </w:rPr>
        <w:t xml:space="preserve"> (z=1.6264m)</w:t>
      </w:r>
    </w:p>
    <w:p w:rsidR="00722628" w:rsidRDefault="00722628">
      <w:r>
        <w:rPr>
          <w:rFonts w:hint="eastAsia"/>
          <w:noProof/>
        </w:rPr>
        <w:drawing>
          <wp:inline distT="0" distB="0" distL="0" distR="0">
            <wp:extent cx="5400040" cy="2720340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b_radiu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628" w:rsidRDefault="00722628" w:rsidP="00722628">
      <w:pPr>
        <w:jc w:val="center"/>
      </w:pPr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 xml:space="preserve">　ウエストが</w:t>
      </w:r>
      <w:r>
        <w:rPr>
          <w:rFonts w:hint="eastAsia"/>
        </w:rPr>
        <w:t>0.25mm</w:t>
      </w:r>
      <w:r>
        <w:rPr>
          <w:rFonts w:hint="eastAsia"/>
        </w:rPr>
        <w:t>程度になるように凹凸レンズを置いた時の距離依存特性</w:t>
      </w:r>
    </w:p>
    <w:p w:rsidR="00722628" w:rsidRDefault="00722628"/>
    <w:p w:rsidR="00EB6FDA" w:rsidRDefault="00EB6FDA">
      <w:r>
        <w:rPr>
          <w:rFonts w:hint="eastAsia"/>
        </w:rPr>
        <w:t>参考資料等</w:t>
      </w:r>
    </w:p>
    <w:p w:rsidR="003F1F88" w:rsidRDefault="003F1F88">
      <w:r>
        <w:rPr>
          <w:rFonts w:hint="eastAsia"/>
        </w:rPr>
        <w:t>[1]</w:t>
      </w:r>
      <w:r>
        <w:rPr>
          <w:rFonts w:hint="eastAsia"/>
        </w:rPr>
        <w:t>：</w:t>
      </w:r>
      <w:r w:rsidR="00EB6FDA" w:rsidRPr="00EB6FDA">
        <w:t>http://en.wikipedia.org/wiki/Ray_transfer_matrix_analysis</w:t>
      </w:r>
    </w:p>
    <w:p w:rsidR="003F1F88" w:rsidRDefault="003F1F88">
      <w:r>
        <w:rPr>
          <w:rFonts w:hint="eastAsia"/>
        </w:rPr>
        <w:t>[2]</w:t>
      </w:r>
      <w:r>
        <w:rPr>
          <w:rFonts w:hint="eastAsia"/>
        </w:rPr>
        <w:t>：</w:t>
      </w:r>
      <w:r w:rsidR="00EB6FDA" w:rsidRPr="00EB6FDA">
        <w:t>http://gwdoc.icrr.u-tokyo.ac.jp/cgi-bin/private/DocDB/ShowDocument?docid=3115</w:t>
      </w:r>
    </w:p>
    <w:p w:rsidR="00C07606" w:rsidRPr="00D74D9E" w:rsidRDefault="00EB6FDA">
      <w:pPr>
        <w:rPr>
          <w:rFonts w:hint="eastAsia"/>
        </w:rPr>
      </w:pPr>
      <w:r>
        <w:rPr>
          <w:rFonts w:hint="eastAsia"/>
        </w:rPr>
        <w:t>[3]</w:t>
      </w:r>
      <w:r>
        <w:rPr>
          <w:rFonts w:hint="eastAsia"/>
        </w:rPr>
        <w:t>：</w:t>
      </w:r>
      <w:hyperlink r:id="rId10" w:history="1">
        <w:r w:rsidR="00D9586F" w:rsidRPr="002D7297">
          <w:rPr>
            <w:rStyle w:val="ac"/>
          </w:rPr>
          <w:t>http://granite.phys.s.u-tokyo.ac.jp/michimura/document/noteOpticalCavity.pdf</w:t>
        </w:r>
      </w:hyperlink>
      <w:bookmarkStart w:id="0" w:name="_GoBack"/>
      <w:bookmarkEnd w:id="0"/>
    </w:p>
    <w:sectPr w:rsidR="00C07606" w:rsidRPr="00D74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23" w:rsidRDefault="00296723" w:rsidP="00C32252">
      <w:r>
        <w:separator/>
      </w:r>
    </w:p>
  </w:endnote>
  <w:endnote w:type="continuationSeparator" w:id="0">
    <w:p w:rsidR="00296723" w:rsidRDefault="00296723" w:rsidP="00C3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23" w:rsidRDefault="00296723" w:rsidP="00C32252">
      <w:r>
        <w:separator/>
      </w:r>
    </w:p>
  </w:footnote>
  <w:footnote w:type="continuationSeparator" w:id="0">
    <w:p w:rsidR="00296723" w:rsidRDefault="00296723" w:rsidP="00C3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59A0"/>
    <w:multiLevelType w:val="hybridMultilevel"/>
    <w:tmpl w:val="3D52EF6E"/>
    <w:lvl w:ilvl="0" w:tplc="266A39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56160F"/>
    <w:multiLevelType w:val="hybridMultilevel"/>
    <w:tmpl w:val="B4104B18"/>
    <w:lvl w:ilvl="0" w:tplc="5BB83F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5A32A3"/>
    <w:multiLevelType w:val="hybridMultilevel"/>
    <w:tmpl w:val="4BBA8232"/>
    <w:lvl w:ilvl="0" w:tplc="84F064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228B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1E"/>
    <w:rsid w:val="000145F2"/>
    <w:rsid w:val="00021623"/>
    <w:rsid w:val="000269E4"/>
    <w:rsid w:val="00033F78"/>
    <w:rsid w:val="00052799"/>
    <w:rsid w:val="00056220"/>
    <w:rsid w:val="00065BFA"/>
    <w:rsid w:val="00073DD2"/>
    <w:rsid w:val="00084553"/>
    <w:rsid w:val="00087CD9"/>
    <w:rsid w:val="000D64C6"/>
    <w:rsid w:val="00127C1E"/>
    <w:rsid w:val="00162BBE"/>
    <w:rsid w:val="00164F57"/>
    <w:rsid w:val="001751A4"/>
    <w:rsid w:val="0017718E"/>
    <w:rsid w:val="001914A2"/>
    <w:rsid w:val="001F341D"/>
    <w:rsid w:val="00223537"/>
    <w:rsid w:val="002818D4"/>
    <w:rsid w:val="00296723"/>
    <w:rsid w:val="002F5446"/>
    <w:rsid w:val="002F69CE"/>
    <w:rsid w:val="00332FEC"/>
    <w:rsid w:val="00347578"/>
    <w:rsid w:val="0036145A"/>
    <w:rsid w:val="00387783"/>
    <w:rsid w:val="0039040E"/>
    <w:rsid w:val="003E67FC"/>
    <w:rsid w:val="003F1F88"/>
    <w:rsid w:val="003F794F"/>
    <w:rsid w:val="004313E4"/>
    <w:rsid w:val="0045110D"/>
    <w:rsid w:val="0046144A"/>
    <w:rsid w:val="00472345"/>
    <w:rsid w:val="00473C61"/>
    <w:rsid w:val="00487F1D"/>
    <w:rsid w:val="004A7458"/>
    <w:rsid w:val="004D6832"/>
    <w:rsid w:val="00504CEA"/>
    <w:rsid w:val="00505781"/>
    <w:rsid w:val="005674AC"/>
    <w:rsid w:val="005C0985"/>
    <w:rsid w:val="005C66CE"/>
    <w:rsid w:val="0060156C"/>
    <w:rsid w:val="00605F8E"/>
    <w:rsid w:val="00636FC5"/>
    <w:rsid w:val="00647819"/>
    <w:rsid w:val="0067450B"/>
    <w:rsid w:val="006B3F6E"/>
    <w:rsid w:val="006D6D43"/>
    <w:rsid w:val="006F62CD"/>
    <w:rsid w:val="00701ED7"/>
    <w:rsid w:val="00722628"/>
    <w:rsid w:val="00735FE0"/>
    <w:rsid w:val="00746A92"/>
    <w:rsid w:val="00747742"/>
    <w:rsid w:val="0076163B"/>
    <w:rsid w:val="00762B7F"/>
    <w:rsid w:val="00783F40"/>
    <w:rsid w:val="00790125"/>
    <w:rsid w:val="00797F70"/>
    <w:rsid w:val="007B6D41"/>
    <w:rsid w:val="007C2AD6"/>
    <w:rsid w:val="007C55AE"/>
    <w:rsid w:val="007C64FE"/>
    <w:rsid w:val="00817945"/>
    <w:rsid w:val="00821492"/>
    <w:rsid w:val="00823FCB"/>
    <w:rsid w:val="0082704A"/>
    <w:rsid w:val="00866BF7"/>
    <w:rsid w:val="00871A3F"/>
    <w:rsid w:val="008952E7"/>
    <w:rsid w:val="008A703F"/>
    <w:rsid w:val="009359F4"/>
    <w:rsid w:val="00943DD3"/>
    <w:rsid w:val="00963C7B"/>
    <w:rsid w:val="0098630B"/>
    <w:rsid w:val="009A6539"/>
    <w:rsid w:val="009C4CA8"/>
    <w:rsid w:val="00A81ABF"/>
    <w:rsid w:val="00A907D1"/>
    <w:rsid w:val="00AA4FF0"/>
    <w:rsid w:val="00AB20B0"/>
    <w:rsid w:val="00AD1D0E"/>
    <w:rsid w:val="00AD2486"/>
    <w:rsid w:val="00B01692"/>
    <w:rsid w:val="00B263F5"/>
    <w:rsid w:val="00B42CC2"/>
    <w:rsid w:val="00B77BDF"/>
    <w:rsid w:val="00BB2995"/>
    <w:rsid w:val="00BC11BC"/>
    <w:rsid w:val="00BC71C9"/>
    <w:rsid w:val="00BE1DD5"/>
    <w:rsid w:val="00BF1207"/>
    <w:rsid w:val="00C07606"/>
    <w:rsid w:val="00C14498"/>
    <w:rsid w:val="00C32252"/>
    <w:rsid w:val="00C64924"/>
    <w:rsid w:val="00C72103"/>
    <w:rsid w:val="00C870D4"/>
    <w:rsid w:val="00C948D4"/>
    <w:rsid w:val="00CC161E"/>
    <w:rsid w:val="00CC7346"/>
    <w:rsid w:val="00CE0A3B"/>
    <w:rsid w:val="00CF55C3"/>
    <w:rsid w:val="00D36BAF"/>
    <w:rsid w:val="00D52944"/>
    <w:rsid w:val="00D552EB"/>
    <w:rsid w:val="00D74D9E"/>
    <w:rsid w:val="00D809DC"/>
    <w:rsid w:val="00D84607"/>
    <w:rsid w:val="00D93A2D"/>
    <w:rsid w:val="00D9586F"/>
    <w:rsid w:val="00DA020E"/>
    <w:rsid w:val="00DD5B2D"/>
    <w:rsid w:val="00E169E5"/>
    <w:rsid w:val="00E2761D"/>
    <w:rsid w:val="00E66A9E"/>
    <w:rsid w:val="00E670B9"/>
    <w:rsid w:val="00E7658E"/>
    <w:rsid w:val="00EA0CD0"/>
    <w:rsid w:val="00EA565B"/>
    <w:rsid w:val="00EB1FF6"/>
    <w:rsid w:val="00EB6FDA"/>
    <w:rsid w:val="00F024A4"/>
    <w:rsid w:val="00F0742B"/>
    <w:rsid w:val="00F233B6"/>
    <w:rsid w:val="00F658AD"/>
    <w:rsid w:val="00F67FEA"/>
    <w:rsid w:val="00F95761"/>
    <w:rsid w:val="00F97598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7911BC-738C-42E7-86CB-A9784585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2C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647819"/>
    <w:rPr>
      <w:color w:val="808080"/>
    </w:rPr>
  </w:style>
  <w:style w:type="paragraph" w:styleId="a6">
    <w:name w:val="header"/>
    <w:basedOn w:val="a"/>
    <w:link w:val="a7"/>
    <w:uiPriority w:val="99"/>
    <w:unhideWhenUsed/>
    <w:rsid w:val="00C32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252"/>
  </w:style>
  <w:style w:type="paragraph" w:styleId="a8">
    <w:name w:val="footer"/>
    <w:basedOn w:val="a"/>
    <w:link w:val="a9"/>
    <w:uiPriority w:val="99"/>
    <w:unhideWhenUsed/>
    <w:rsid w:val="00C32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252"/>
  </w:style>
  <w:style w:type="paragraph" w:styleId="aa">
    <w:name w:val="Revision"/>
    <w:hidden/>
    <w:uiPriority w:val="99"/>
    <w:semiHidden/>
    <w:rsid w:val="005C66CE"/>
  </w:style>
  <w:style w:type="paragraph" w:styleId="ab">
    <w:name w:val="List Paragraph"/>
    <w:basedOn w:val="a"/>
    <w:uiPriority w:val="34"/>
    <w:qFormat/>
    <w:rsid w:val="00722628"/>
    <w:pPr>
      <w:ind w:leftChars="400" w:left="840"/>
    </w:pPr>
  </w:style>
  <w:style w:type="character" w:styleId="ac">
    <w:name w:val="Hyperlink"/>
    <w:basedOn w:val="a0"/>
    <w:uiPriority w:val="99"/>
    <w:unhideWhenUsed/>
    <w:rsid w:val="00D95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ranite.phys.s.u-tokyo.ac.jp/michimura/document/noteOpticalCavit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77A8-C722-43D8-AF0C-7F2C4704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</dc:creator>
  <cp:lastModifiedBy>Kazn Sig</cp:lastModifiedBy>
  <cp:revision>7</cp:revision>
  <dcterms:created xsi:type="dcterms:W3CDTF">2015-02-02T10:36:00Z</dcterms:created>
  <dcterms:modified xsi:type="dcterms:W3CDTF">2015-03-02T08:20:00Z</dcterms:modified>
</cp:coreProperties>
</file>